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071423" w:rsidRDefault="0012771F">
      <w:pPr>
        <w:tabs>
          <w:tab w:val="center" w:pos="4536"/>
          <w:tab w:val="right" w:pos="9639"/>
        </w:tabs>
        <w:spacing w:beforeLines="0" w:after="12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3GPP TSG RAN WG1 </w:t>
      </w:r>
      <w:r>
        <w:rPr>
          <w:rFonts w:ascii="Arial" w:hAnsi="Arial" w:cs="Arial" w:hint="eastAsia"/>
          <w:b/>
          <w:bCs/>
          <w:sz w:val="22"/>
          <w:szCs w:val="22"/>
        </w:rPr>
        <w:t>#10</w:t>
      </w:r>
      <w:r>
        <w:rPr>
          <w:rFonts w:ascii="Arial" w:hAnsi="Arial" w:cs="Arial" w:hint="eastAsia"/>
          <w:b/>
          <w:bCs/>
          <w:sz w:val="22"/>
          <w:szCs w:val="22"/>
        </w:rPr>
        <w:t>5</w:t>
      </w:r>
      <w:r>
        <w:rPr>
          <w:rFonts w:ascii="Arial" w:hAnsi="Arial" w:cs="Arial"/>
          <w:b/>
          <w:bCs/>
          <w:sz w:val="22"/>
          <w:szCs w:val="22"/>
        </w:rPr>
        <w:t>-e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 xml:space="preserve">                                                  </w:t>
      </w:r>
      <w:r>
        <w:rPr>
          <w:rFonts w:ascii="Arial" w:hAnsi="Arial" w:cs="Arial"/>
          <w:b/>
          <w:bCs/>
          <w:sz w:val="22"/>
          <w:szCs w:val="22"/>
        </w:rPr>
        <w:t>R1-2</w:t>
      </w:r>
      <w:r>
        <w:rPr>
          <w:rFonts w:ascii="Arial" w:hAnsi="Arial" w:cs="Arial" w:hint="eastAsia"/>
          <w:b/>
          <w:bCs/>
          <w:sz w:val="22"/>
          <w:szCs w:val="22"/>
        </w:rPr>
        <w:t>104879</w:t>
      </w:r>
    </w:p>
    <w:p w:rsidR="00071423" w:rsidRDefault="0012771F">
      <w:pPr>
        <w:tabs>
          <w:tab w:val="center" w:pos="4536"/>
          <w:tab w:val="right" w:pos="9639"/>
        </w:tabs>
        <w:spacing w:beforeLines="0" w:after="12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e-Meeting, </w:t>
      </w:r>
      <w:r>
        <w:rPr>
          <w:rFonts w:ascii="Arial" w:hAnsi="Arial" w:cs="Arial" w:hint="eastAsia"/>
          <w:b/>
          <w:bCs/>
          <w:sz w:val="22"/>
          <w:szCs w:val="22"/>
        </w:rPr>
        <w:t>May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</w:rPr>
        <w:t>10</w:t>
      </w:r>
      <w:r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</w:t>
      </w:r>
      <w:r>
        <w:rPr>
          <w:rFonts w:ascii="Arial" w:hAnsi="Arial" w:cs="Arial" w:hint="eastAsia"/>
          <w:b/>
          <w:bCs/>
          <w:sz w:val="22"/>
          <w:szCs w:val="22"/>
        </w:rPr>
        <w:t>27</w:t>
      </w:r>
      <w:r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, 2021</w:t>
      </w:r>
    </w:p>
    <w:p w:rsidR="00071423" w:rsidRDefault="0012771F">
      <w:pPr>
        <w:tabs>
          <w:tab w:val="left" w:pos="1985"/>
        </w:tabs>
        <w:spacing w:beforeLines="100" w:before="240" w:after="120" w:line="240" w:lineRule="auto"/>
        <w:ind w:left="1987" w:hanging="1987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Title: </w:t>
      </w:r>
      <w:r>
        <w:rPr>
          <w:rFonts w:ascii="Arial" w:hAnsi="Arial"/>
          <w:b/>
          <w:sz w:val="22"/>
          <w:szCs w:val="22"/>
        </w:rPr>
        <w:tab/>
      </w:r>
      <w:r w:rsidRPr="0012771F">
        <w:rPr>
          <w:rFonts w:ascii="Arial" w:hAnsi="Arial" w:hint="eastAsia"/>
          <w:b/>
          <w:sz w:val="22"/>
          <w:szCs w:val="22"/>
        </w:rPr>
        <w:t>Consideration on reference carrier for semi-static IAB-DU resource configuration</w:t>
      </w:r>
    </w:p>
    <w:p w:rsidR="00071423" w:rsidRDefault="0012771F">
      <w:pPr>
        <w:tabs>
          <w:tab w:val="left" w:pos="1985"/>
        </w:tabs>
        <w:spacing w:before="120" w:after="120" w:line="240" w:lineRule="auto"/>
        <w:ind w:left="1980" w:hanging="198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  <w:t>ZTE, Sanechips</w:t>
      </w:r>
    </w:p>
    <w:p w:rsidR="00071423" w:rsidRDefault="0012771F">
      <w:pPr>
        <w:tabs>
          <w:tab w:val="left" w:pos="1985"/>
        </w:tabs>
        <w:spacing w:before="120" w:after="120" w:line="240" w:lineRule="auto"/>
        <w:rPr>
          <w:b/>
          <w:sz w:val="22"/>
          <w:szCs w:val="22"/>
        </w:rPr>
      </w:pPr>
      <w:r>
        <w:rPr>
          <w:rFonts w:ascii="Arial" w:hAnsi="Arial"/>
          <w:b/>
          <w:sz w:val="22"/>
          <w:szCs w:val="22"/>
          <w:lang w:val="pt-BR"/>
        </w:rPr>
        <w:t>Agenda item: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8.10.3</w:t>
      </w:r>
    </w:p>
    <w:p w:rsidR="00071423" w:rsidRDefault="0012771F">
      <w:pPr>
        <w:tabs>
          <w:tab w:val="left" w:pos="1985"/>
        </w:tabs>
        <w:spacing w:before="120" w:after="120" w:line="240" w:lineRule="auto"/>
        <w:ind w:left="1980" w:hanging="1980"/>
        <w:rPr>
          <w:b/>
          <w:sz w:val="22"/>
          <w:szCs w:val="22"/>
          <w:lang w:val="pt-BR"/>
        </w:rPr>
      </w:pPr>
      <w:r>
        <w:rPr>
          <w:rFonts w:ascii="Arial" w:hAnsi="Arial"/>
          <w:b/>
          <w:sz w:val="22"/>
          <w:szCs w:val="22"/>
          <w:lang w:val="pt-BR"/>
        </w:rPr>
        <w:t>Document for: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Discussion</w:t>
      </w:r>
      <w:r>
        <w:rPr>
          <w:rFonts w:ascii="Arial" w:hAnsi="Arial"/>
          <w:b/>
          <w:sz w:val="22"/>
          <w:szCs w:val="22"/>
        </w:rPr>
        <w:t xml:space="preserve"> and decision</w:t>
      </w:r>
    </w:p>
    <w:p w:rsidR="00071423" w:rsidRDefault="0012771F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Introduction</w:t>
      </w:r>
    </w:p>
    <w:p w:rsidR="00071423" w:rsidRDefault="0012771F">
      <w:pPr>
        <w:spacing w:before="120" w:after="120"/>
        <w:rPr>
          <w:sz w:val="20"/>
        </w:rPr>
      </w:pPr>
      <w:r>
        <w:rPr>
          <w:sz w:val="20"/>
        </w:rPr>
        <w:t xml:space="preserve">This contribution further discusses the </w:t>
      </w:r>
      <w:r>
        <w:rPr>
          <w:rFonts w:hint="eastAsia"/>
          <w:sz w:val="20"/>
        </w:rPr>
        <w:t>other enhancements for semi-static DU resource configuration</w:t>
      </w:r>
      <w:r>
        <w:rPr>
          <w:rFonts w:hint="eastAsia"/>
          <w:sz w:val="20"/>
        </w:rPr>
        <w:t xml:space="preserve"> for Rel-17 </w:t>
      </w:r>
      <w:r>
        <w:rPr>
          <w:sz w:val="20"/>
        </w:rPr>
        <w:t>IAB</w:t>
      </w:r>
      <w:r>
        <w:rPr>
          <w:rFonts w:hint="eastAsia"/>
          <w:sz w:val="20"/>
          <w:szCs w:val="22"/>
        </w:rPr>
        <w:t xml:space="preserve">. </w:t>
      </w:r>
    </w:p>
    <w:p w:rsidR="00071423" w:rsidRDefault="0012771F">
      <w:pPr>
        <w:pStyle w:val="1"/>
        <w:keepNext w:val="0"/>
        <w:keepLines w:val="0"/>
        <w:widowControl w:val="0"/>
        <w:pBdr>
          <w:top w:val="none" w:sz="0" w:space="0" w:color="auto"/>
        </w:pBdr>
        <w:snapToGrid w:val="0"/>
        <w:spacing w:before="120" w:after="120" w:line="240" w:lineRule="auto"/>
        <w:ind w:left="431" w:hanging="431"/>
        <w:jc w:val="left"/>
      </w:pPr>
      <w:r>
        <w:rPr>
          <w:rFonts w:eastAsia="宋体" w:hint="eastAsia"/>
          <w:szCs w:val="22"/>
        </w:rPr>
        <w:t>Discussion</w:t>
      </w:r>
    </w:p>
    <w:p w:rsidR="00071423" w:rsidRDefault="0012771F">
      <w:pPr>
        <w:tabs>
          <w:tab w:val="left" w:pos="0"/>
        </w:tabs>
        <w:adjustRightInd w:val="0"/>
        <w:snapToGrid w:val="0"/>
        <w:spacing w:before="120" w:after="120"/>
        <w:rPr>
          <w:sz w:val="20"/>
        </w:rPr>
      </w:pPr>
      <w:r>
        <w:rPr>
          <w:rFonts w:hint="eastAsia"/>
          <w:sz w:val="20"/>
        </w:rPr>
        <w:t>S</w:t>
      </w:r>
      <w:r>
        <w:rPr>
          <w:rFonts w:hint="eastAsia"/>
          <w:sz w:val="20"/>
        </w:rPr>
        <w:t>emi-static DU resource configuration related agree</w:t>
      </w:r>
      <w:r>
        <w:rPr>
          <w:sz w:val="20"/>
        </w:rPr>
        <w:t>m</w:t>
      </w:r>
      <w:r>
        <w:rPr>
          <w:rFonts w:hint="eastAsia"/>
          <w:sz w:val="20"/>
        </w:rPr>
        <w:t>ents</w:t>
      </w:r>
      <w:r>
        <w:rPr>
          <w:sz w:val="20"/>
        </w:rPr>
        <w:t xml:space="preserve"> </w:t>
      </w:r>
      <w:r>
        <w:rPr>
          <w:rFonts w:hint="eastAsia"/>
          <w:sz w:val="20"/>
        </w:rPr>
        <w:t>[1]</w:t>
      </w:r>
      <w:r>
        <w:rPr>
          <w:rFonts w:hint="eastAsia"/>
          <w:sz w:val="20"/>
        </w:rPr>
        <w:t xml:space="preserve"> were reached as following: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876"/>
      </w:tblGrid>
      <w:tr w:rsidR="00071423">
        <w:tc>
          <w:tcPr>
            <w:tcW w:w="9876" w:type="dxa"/>
          </w:tcPr>
          <w:p w:rsidR="00071423" w:rsidRDefault="0012771F">
            <w:pPr>
              <w:pStyle w:val="af2"/>
              <w:spacing w:after="120"/>
              <w:ind w:left="0"/>
              <w:textAlignment w:val="baseline"/>
              <w:rPr>
                <w:rFonts w:eastAsia="Calibri" w:cs="Times"/>
                <w:b/>
                <w:bCs/>
                <w:sz w:val="20"/>
                <w:szCs w:val="20"/>
                <w:highlight w:val="green"/>
              </w:rPr>
            </w:pPr>
            <w:r>
              <w:rPr>
                <w:rFonts w:eastAsia="Calibri" w:cs="Times"/>
                <w:b/>
                <w:bCs/>
                <w:sz w:val="20"/>
                <w:szCs w:val="20"/>
                <w:highlight w:val="green"/>
              </w:rPr>
              <w:t>Agreement</w:t>
            </w:r>
          </w:p>
          <w:p w:rsidR="00071423" w:rsidRDefault="0012771F">
            <w:pPr>
              <w:pStyle w:val="Proposal"/>
              <w:tabs>
                <w:tab w:val="clear" w:pos="1701"/>
                <w:tab w:val="left" w:pos="0"/>
              </w:tabs>
              <w:snapToGrid w:val="0"/>
              <w:spacing w:beforeLines="0" w:afterLines="0" w:after="0" w:line="240" w:lineRule="auto"/>
              <w:ind w:left="0" w:firstLine="0"/>
              <w:rPr>
                <w:b w:val="0"/>
                <w:bCs w:val="0"/>
                <w:sz w:val="20"/>
                <w:lang w:eastAsia="en-US"/>
              </w:rPr>
            </w:pPr>
            <w:r>
              <w:rPr>
                <w:rFonts w:hint="eastAsia"/>
                <w:b w:val="0"/>
                <w:bCs w:val="0"/>
                <w:sz w:val="20"/>
                <w:lang w:eastAsia="en-US"/>
              </w:rPr>
              <w:t>The extension of the semi-static DU resource type indication to frequency-domain resources within a carrier (in addition to existing Rel-16 per-carrier granularity) for H/S/NA resource types is supported</w:t>
            </w:r>
          </w:p>
          <w:p w:rsidR="00071423" w:rsidRDefault="00071423">
            <w:pPr>
              <w:pStyle w:val="Proposal"/>
              <w:tabs>
                <w:tab w:val="clear" w:pos="1701"/>
                <w:tab w:val="left" w:pos="0"/>
              </w:tabs>
              <w:snapToGrid w:val="0"/>
              <w:spacing w:beforeLines="0" w:afterLines="0" w:after="0" w:line="240" w:lineRule="auto"/>
              <w:ind w:left="0" w:firstLine="0"/>
              <w:rPr>
                <w:b w:val="0"/>
                <w:bCs w:val="0"/>
                <w:sz w:val="20"/>
              </w:rPr>
            </w:pPr>
          </w:p>
          <w:p w:rsidR="00071423" w:rsidRDefault="0012771F">
            <w:pPr>
              <w:pStyle w:val="a6"/>
              <w:spacing w:before="120" w:after="120"/>
              <w:jc w:val="left"/>
              <w:rPr>
                <w:rFonts w:eastAsia="Times New Roman" w:cs="Times"/>
                <w:b/>
                <w:i w:val="0"/>
                <w:iCs/>
                <w:sz w:val="20"/>
                <w:highlight w:val="green"/>
              </w:rPr>
            </w:pPr>
            <w:r>
              <w:rPr>
                <w:rFonts w:eastAsia="Times New Roman" w:cs="Times"/>
                <w:b/>
                <w:i w:val="0"/>
                <w:iCs/>
                <w:sz w:val="20"/>
                <w:highlight w:val="green"/>
              </w:rPr>
              <w:t>Agreement</w:t>
            </w:r>
          </w:p>
          <w:p w:rsidR="00071423" w:rsidRDefault="0012771F">
            <w:pPr>
              <w:pStyle w:val="maintext"/>
              <w:spacing w:before="120" w:after="120"/>
              <w:ind w:firstLineChars="0" w:firstLine="0"/>
              <w:rPr>
                <w:rFonts w:eastAsia="Times New Roman"/>
                <w:bCs/>
                <w:iCs/>
                <w:sz w:val="20"/>
                <w:lang w:eastAsia="en-US"/>
              </w:rPr>
            </w:pPr>
            <w:r>
              <w:rPr>
                <w:rFonts w:eastAsia="Times New Roman"/>
                <w:bCs/>
                <w:iCs/>
                <w:sz w:val="20"/>
                <w:lang w:eastAsia="en-US"/>
              </w:rPr>
              <w:t>For</w:t>
            </w:r>
            <w:r>
              <w:rPr>
                <w:rFonts w:eastAsia="Times New Roman"/>
                <w:bCs/>
                <w:iCs/>
                <w:sz w:val="20"/>
                <w:lang w:eastAsia="en-US"/>
              </w:rPr>
              <w:t xml:space="preserve"> the semi-static DU resource configuration in the frequency domain within a carrier, the frequency-domain granularity is configurable</w:t>
            </w:r>
          </w:p>
          <w:p w:rsidR="00071423" w:rsidRDefault="0012771F">
            <w:pPr>
              <w:pStyle w:val="maintext"/>
              <w:numPr>
                <w:ilvl w:val="0"/>
                <w:numId w:val="8"/>
              </w:numPr>
              <w:spacing w:before="120" w:after="120"/>
              <w:ind w:firstLineChars="0"/>
              <w:rPr>
                <w:rFonts w:eastAsia="Times New Roman"/>
                <w:bCs/>
                <w:iCs/>
                <w:sz w:val="20"/>
                <w:lang w:eastAsia="en-US"/>
              </w:rPr>
            </w:pPr>
            <w:r>
              <w:rPr>
                <w:rFonts w:eastAsia="Times New Roman"/>
                <w:bCs/>
                <w:iCs/>
                <w:sz w:val="20"/>
                <w:lang w:eastAsia="en-US"/>
              </w:rPr>
              <w:t>FFS:  minimum resource size e.g. N PRBs/N RBGs</w:t>
            </w:r>
          </w:p>
          <w:p w:rsidR="00071423" w:rsidRDefault="0012771F">
            <w:pPr>
              <w:pStyle w:val="maintext"/>
              <w:numPr>
                <w:ilvl w:val="0"/>
                <w:numId w:val="8"/>
              </w:numPr>
              <w:spacing w:before="120" w:after="120"/>
              <w:ind w:firstLineChars="0"/>
              <w:rPr>
                <w:rFonts w:eastAsia="Times New Roman"/>
                <w:bCs/>
                <w:iCs/>
                <w:sz w:val="20"/>
                <w:lang w:eastAsia="en-US"/>
              </w:rPr>
            </w:pPr>
            <w:r>
              <w:rPr>
                <w:rFonts w:eastAsia="Times New Roman"/>
                <w:bCs/>
                <w:iCs/>
                <w:sz w:val="20"/>
                <w:lang w:eastAsia="en-US"/>
              </w:rPr>
              <w:t xml:space="preserve">FFS: </w:t>
            </w:r>
            <w:r>
              <w:rPr>
                <w:rFonts w:eastAsia="Times New Roman"/>
                <w:bCs/>
                <w:iCs/>
                <w:sz w:val="20"/>
                <w:lang w:eastAsia="en-US"/>
              </w:rPr>
              <w:t>Separate or joint TDM and FDM semi-static DU resource configurations</w:t>
            </w:r>
          </w:p>
          <w:p w:rsidR="00071423" w:rsidRDefault="00071423">
            <w:pPr>
              <w:pStyle w:val="Proposal"/>
              <w:tabs>
                <w:tab w:val="clear" w:pos="1701"/>
                <w:tab w:val="left" w:pos="0"/>
              </w:tabs>
              <w:snapToGrid w:val="0"/>
              <w:spacing w:beforeLines="0" w:afterLines="0" w:after="0" w:line="240" w:lineRule="auto"/>
              <w:ind w:left="0" w:firstLine="0"/>
              <w:rPr>
                <w:b w:val="0"/>
                <w:bCs w:val="0"/>
                <w:sz w:val="20"/>
              </w:rPr>
            </w:pPr>
          </w:p>
        </w:tc>
      </w:tr>
    </w:tbl>
    <w:p w:rsidR="00071423" w:rsidRDefault="0012771F">
      <w:pPr>
        <w:tabs>
          <w:tab w:val="left" w:pos="0"/>
        </w:tabs>
        <w:adjustRightInd w:val="0"/>
        <w:snapToGrid w:val="0"/>
        <w:spacing w:before="120" w:after="120"/>
        <w:rPr>
          <w:sz w:val="20"/>
        </w:rPr>
      </w:pPr>
      <w:r>
        <w:rPr>
          <w:rFonts w:hint="eastAsia"/>
          <w:sz w:val="20"/>
        </w:rPr>
        <w:t xml:space="preserve">According to the agreements above, </w:t>
      </w:r>
      <w:r>
        <w:rPr>
          <w:rFonts w:hint="eastAsia"/>
          <w:sz w:val="20"/>
        </w:rPr>
        <w:t xml:space="preserve">it has been agreed to </w:t>
      </w:r>
      <w:r>
        <w:rPr>
          <w:rFonts w:hint="eastAsia"/>
          <w:sz w:val="20"/>
          <w:lang w:eastAsia="en-US"/>
        </w:rPr>
        <w:t>exten</w:t>
      </w:r>
      <w:r>
        <w:rPr>
          <w:rFonts w:hint="eastAsia"/>
          <w:sz w:val="20"/>
        </w:rPr>
        <w:t>d</w:t>
      </w:r>
      <w:r>
        <w:rPr>
          <w:rFonts w:hint="eastAsia"/>
          <w:sz w:val="20"/>
          <w:lang w:eastAsia="en-US"/>
        </w:rPr>
        <w:t xml:space="preserve"> the semi-static DU resource type indication to frequency-domain resources within a carrier (in addition to existing Rel-16 per-carrier granularity) for H/S/NA resource types</w:t>
      </w:r>
      <w:r>
        <w:rPr>
          <w:rFonts w:hint="eastAsia"/>
          <w:sz w:val="20"/>
        </w:rPr>
        <w:t xml:space="preserve">. </w:t>
      </w:r>
      <w:r>
        <w:rPr>
          <w:rFonts w:hint="eastAsia"/>
          <w:sz w:val="20"/>
        </w:rPr>
        <w:t xml:space="preserve">That is, </w:t>
      </w:r>
      <w:r>
        <w:rPr>
          <w:rFonts w:hint="eastAsia"/>
          <w:sz w:val="20"/>
        </w:rPr>
        <w:t xml:space="preserve">H/S/NA </w:t>
      </w:r>
      <w:r>
        <w:rPr>
          <w:rFonts w:hint="eastAsia"/>
          <w:sz w:val="20"/>
        </w:rPr>
        <w:t>resource configuration per RB set within carrier should be supported.</w:t>
      </w:r>
    </w:p>
    <w:p w:rsidR="00071423" w:rsidRDefault="0012771F">
      <w:pPr>
        <w:tabs>
          <w:tab w:val="left" w:pos="0"/>
        </w:tabs>
        <w:adjustRightInd w:val="0"/>
        <w:snapToGrid w:val="0"/>
        <w:spacing w:before="120" w:after="120"/>
        <w:rPr>
          <w:b/>
          <w:bCs/>
          <w:i/>
          <w:iCs/>
          <w:sz w:val="20"/>
        </w:rPr>
      </w:pPr>
      <w:r>
        <w:rPr>
          <w:rFonts w:hint="eastAsia"/>
          <w:sz w:val="20"/>
        </w:rPr>
        <w:t xml:space="preserve">As specified in TS38.473 [2], IAB-DU reports Served Cell Information to CU, and each cell with carrier frequency information, such as information elements include </w:t>
      </w:r>
      <w:r>
        <w:rPr>
          <w:rFonts w:hint="eastAsia"/>
          <w:sz w:val="20"/>
        </w:rPr>
        <w:t>FreInfo</w:t>
      </w:r>
      <w:r>
        <w:rPr>
          <w:rFonts w:hint="eastAsia"/>
          <w:sz w:val="20"/>
        </w:rPr>
        <w:t xml:space="preserve"> (e.g. ARFCN, Fr</w:t>
      </w:r>
      <w:r>
        <w:rPr>
          <w:rFonts w:hint="eastAsia"/>
          <w:sz w:val="20"/>
        </w:rPr>
        <w:t>equency Band), CarrierList(e.g. SCS, Offset to Carrier, Carrier Bandwidth) etc.. That is, CU is aware of SCS-specific carriers (i.e. CarrierList reported by IAB-DU) of each IAB-DU cell. However, when CU is reported more than one SCS-specific carriers for a</w:t>
      </w:r>
      <w:r>
        <w:rPr>
          <w:rFonts w:hint="eastAsia"/>
          <w:sz w:val="20"/>
        </w:rPr>
        <w:t>n IAB-DU cell, theoretically, the CU can take any SCS-specific carrier as a reference carrier for the IAB-DU cell to define RB sets for H/S/NA resource configuration in frequency-domain. Therefore, IAB-DU should know which SCS-specific carrier is the refer</w:t>
      </w:r>
      <w:r>
        <w:rPr>
          <w:rFonts w:hint="eastAsia"/>
          <w:sz w:val="20"/>
        </w:rPr>
        <w:t>ence carrier to derive frequency position of the RB sets.</w:t>
      </w:r>
    </w:p>
    <w:p w:rsidR="00071423" w:rsidRDefault="0012771F">
      <w:pPr>
        <w:pStyle w:val="YJ-Observation"/>
        <w:spacing w:before="120" w:after="120"/>
        <w:rPr>
          <w:lang w:val="en-US" w:eastAsia="zh-CN"/>
        </w:rPr>
      </w:pPr>
      <w:bookmarkStart w:id="0" w:name="_Toc6006"/>
      <w:bookmarkStart w:id="1" w:name="_Toc3271"/>
      <w:bookmarkStart w:id="2" w:name="_Toc71538421"/>
      <w:r>
        <w:rPr>
          <w:rFonts w:hint="eastAsia"/>
          <w:lang w:val="en-US" w:eastAsia="zh-CN"/>
        </w:rPr>
        <w:t>If more than one SCS-specific carrier for an IAB-DU cell is reported to CU, IAB-DU should know which SCS-specific carrier is used by CU to define the RB sets for H/S/NA resource configuration in fre</w:t>
      </w:r>
      <w:r>
        <w:rPr>
          <w:rFonts w:hint="eastAsia"/>
          <w:lang w:val="en-US" w:eastAsia="zh-CN"/>
        </w:rPr>
        <w:t>quency domian</w:t>
      </w:r>
      <w:r>
        <w:rPr>
          <w:rFonts w:hint="eastAsia"/>
          <w:lang w:val="en-US" w:eastAsia="zh-CN"/>
        </w:rPr>
        <w:t>.</w:t>
      </w:r>
      <w:bookmarkEnd w:id="0"/>
      <w:bookmarkEnd w:id="1"/>
      <w:bookmarkEnd w:id="2"/>
    </w:p>
    <w:p w:rsidR="00071423" w:rsidRDefault="0012771F">
      <w:pPr>
        <w:pStyle w:val="YJ-Proposal"/>
        <w:spacing w:before="120" w:after="120"/>
        <w:rPr>
          <w:lang w:val="en-US"/>
        </w:rPr>
      </w:pPr>
      <w:bookmarkStart w:id="3" w:name="_Toc32414"/>
      <w:bookmarkStart w:id="4" w:name="_Toc19470"/>
      <w:bookmarkStart w:id="5" w:name="_Toc13764"/>
      <w:bookmarkStart w:id="6" w:name="_Toc71538424"/>
      <w:r>
        <w:rPr>
          <w:rFonts w:hint="eastAsia"/>
          <w:lang w:val="en-US" w:eastAsia="zh-CN"/>
        </w:rPr>
        <w:t>A reference carrier used for H/S/NA resource configuration in frequency-domain for an IAB-DU cell should be specified</w:t>
      </w:r>
      <w:r>
        <w:rPr>
          <w:lang w:val="en-US"/>
        </w:rPr>
        <w:t>.</w:t>
      </w:r>
      <w:bookmarkEnd w:id="3"/>
      <w:bookmarkEnd w:id="4"/>
      <w:bookmarkEnd w:id="5"/>
      <w:bookmarkEnd w:id="6"/>
    </w:p>
    <w:p w:rsidR="00071423" w:rsidRDefault="0012771F">
      <w:pPr>
        <w:tabs>
          <w:tab w:val="left" w:pos="0"/>
        </w:tabs>
        <w:adjustRightInd w:val="0"/>
        <w:snapToGrid w:val="0"/>
        <w:spacing w:before="120" w:after="120"/>
        <w:rPr>
          <w:sz w:val="20"/>
        </w:rPr>
      </w:pPr>
      <w:r>
        <w:rPr>
          <w:rFonts w:hint="eastAsia"/>
          <w:sz w:val="20"/>
        </w:rPr>
        <w:lastRenderedPageBreak/>
        <w:t>On the other hand, it is reasonable that parent node can be made aware of IAB-DU cell H/S/NA resource configuration in fr</w:t>
      </w:r>
      <w:r>
        <w:rPr>
          <w:rFonts w:hint="eastAsia"/>
          <w:sz w:val="20"/>
        </w:rPr>
        <w:t>equency-domain to have a good understanding of H/S/NA resource type of an IAB-DU cell and then make appropriated assumption about the resource availability at IAB-MT. However, according to current specification, the parent node does not know carrier freque</w:t>
      </w:r>
      <w:r>
        <w:rPr>
          <w:rFonts w:hint="eastAsia"/>
          <w:sz w:val="20"/>
        </w:rPr>
        <w:t>ncy information of IAB-DU cell. Therefore, how the CU indicates the IAB-DU cell H/S/NA resource configuration in frequency-domain to parent node needs further study.</w:t>
      </w:r>
    </w:p>
    <w:p w:rsidR="00071423" w:rsidRDefault="0012771F">
      <w:pPr>
        <w:pStyle w:val="YJ-Proposal"/>
        <w:spacing w:before="120" w:after="120"/>
        <w:rPr>
          <w:lang w:val="en-US"/>
        </w:rPr>
      </w:pPr>
      <w:bookmarkStart w:id="7" w:name="_Toc26829"/>
      <w:bookmarkStart w:id="8" w:name="_Toc71538425"/>
      <w:r>
        <w:rPr>
          <w:rFonts w:hint="eastAsia"/>
          <w:lang w:val="en-US" w:eastAsia="zh-CN"/>
        </w:rPr>
        <w:t xml:space="preserve">Parent nodes should be made aware of the carrier frequency information and reference </w:t>
      </w:r>
      <w:r>
        <w:rPr>
          <w:rFonts w:hint="eastAsia"/>
          <w:lang w:val="en-US" w:eastAsia="zh-CN"/>
        </w:rPr>
        <w:t>carrier of an IAB DU cell</w:t>
      </w:r>
      <w:r>
        <w:rPr>
          <w:lang w:val="en-US"/>
        </w:rPr>
        <w:t>.</w:t>
      </w:r>
      <w:bookmarkEnd w:id="7"/>
      <w:bookmarkEnd w:id="8"/>
    </w:p>
    <w:p w:rsidR="00071423" w:rsidRDefault="0012771F">
      <w:pPr>
        <w:pStyle w:val="sub-proposal"/>
        <w:tabs>
          <w:tab w:val="left" w:pos="420"/>
        </w:tabs>
        <w:spacing w:before="120" w:after="120"/>
        <w:ind w:left="822" w:hanging="402"/>
        <w:rPr>
          <w:lang w:val="en-US" w:eastAsia="zh-CN"/>
        </w:rPr>
      </w:pPr>
      <w:bookmarkStart w:id="9" w:name="_Toc4136"/>
      <w:bookmarkStart w:id="10" w:name="_Toc11078"/>
      <w:bookmarkStart w:id="11" w:name="_Toc68678818"/>
      <w:bookmarkStart w:id="12" w:name="_Toc1678"/>
      <w:bookmarkStart w:id="13" w:name="_Toc4810"/>
      <w:bookmarkStart w:id="14" w:name="_Toc12641"/>
      <w:bookmarkStart w:id="15" w:name="_Toc28541"/>
      <w:bookmarkStart w:id="16" w:name="_Toc71538426"/>
      <w:r>
        <w:rPr>
          <w:lang w:val="en-US" w:eastAsia="zh-CN"/>
        </w:rPr>
        <w:t xml:space="preserve">FFS: </w:t>
      </w:r>
      <w:r>
        <w:rPr>
          <w:lang w:val="en-US" w:eastAsia="zh-CN"/>
        </w:rPr>
        <w:t xml:space="preserve">how to </w:t>
      </w:r>
      <w:r>
        <w:rPr>
          <w:rFonts w:hint="eastAsia"/>
          <w:lang w:val="en-US" w:eastAsia="zh-CN"/>
        </w:rPr>
        <w:t>indi</w:t>
      </w:r>
      <w:r>
        <w:rPr>
          <w:rFonts w:hint="eastAsia"/>
          <w:lang w:val="en-US" w:eastAsia="zh-CN"/>
        </w:rPr>
        <w:t>cates the IAB-DU cell H/S/NA resource configuration in frequency-domain to the parent node by CU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071423" w:rsidRDefault="00071423">
      <w:pPr>
        <w:adjustRightInd w:val="0"/>
        <w:snapToGrid w:val="0"/>
        <w:spacing w:beforeLines="0" w:afterLines="0" w:after="0" w:line="240" w:lineRule="auto"/>
      </w:pPr>
    </w:p>
    <w:p w:rsidR="00071423" w:rsidRDefault="0012771F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Conclusion</w:t>
      </w:r>
    </w:p>
    <w:p w:rsidR="00071423" w:rsidRDefault="0012771F">
      <w:pPr>
        <w:tabs>
          <w:tab w:val="left" w:pos="2520"/>
        </w:tabs>
        <w:spacing w:before="120" w:after="120"/>
        <w:rPr>
          <w:sz w:val="20"/>
        </w:rPr>
      </w:pPr>
      <w:r>
        <w:rPr>
          <w:rFonts w:hint="eastAsia"/>
          <w:sz w:val="20"/>
        </w:rPr>
        <w:t>According to the discussion above, we provide the following</w:t>
      </w:r>
      <w:r>
        <w:rPr>
          <w:rFonts w:hint="eastAsia"/>
          <w:sz w:val="20"/>
        </w:rPr>
        <w:t xml:space="preserve"> observation and</w:t>
      </w:r>
      <w:r>
        <w:rPr>
          <w:rFonts w:hint="eastAsia"/>
          <w:sz w:val="20"/>
        </w:rPr>
        <w:t xml:space="preserve"> proposal</w:t>
      </w:r>
      <w:r>
        <w:rPr>
          <w:rFonts w:hint="eastAsia"/>
          <w:sz w:val="20"/>
        </w:rPr>
        <w:t>s</w:t>
      </w:r>
      <w:r>
        <w:rPr>
          <w:rFonts w:hint="eastAsia"/>
          <w:sz w:val="20"/>
        </w:rPr>
        <w:t>:</w:t>
      </w:r>
    </w:p>
    <w:p w:rsidR="0012771F" w:rsidRDefault="0012771F">
      <w:pPr>
        <w:pStyle w:val="10"/>
        <w:tabs>
          <w:tab w:val="left" w:pos="1680"/>
          <w:tab w:val="right" w:pos="9650"/>
        </w:tabs>
        <w:spacing w:before="120" w:after="120"/>
        <w:rPr>
          <w:rFonts w:asciiTheme="minorHAnsi" w:hAnsiTheme="minorHAnsi" w:cstheme="minorBidi"/>
          <w:b w:val="0"/>
          <w:i w:val="0"/>
          <w:noProof/>
          <w:sz w:val="21"/>
          <w:szCs w:val="22"/>
        </w:rPr>
      </w:pPr>
      <w:r>
        <w:fldChar w:fldCharType="begin"/>
      </w:r>
      <w:r>
        <w:instrText>TOC \n  \t "YJ-Ob</w:instrText>
      </w:r>
      <w:r>
        <w:instrText>servation,1,sub-observation,2,3rd level observation,3" \h</w:instrText>
      </w:r>
      <w:r>
        <w:fldChar w:fldCharType="separate"/>
      </w:r>
      <w:hyperlink w:anchor="_Toc71538421" w:history="1">
        <w:r w:rsidRPr="009258F6">
          <w:rPr>
            <w:rStyle w:val="af0"/>
            <w:rFonts w:eastAsia="宋体"/>
            <w:noProof/>
          </w:rPr>
          <w:t>Observation 1:</w:t>
        </w:r>
        <w:r>
          <w:rPr>
            <w:rFonts w:asciiTheme="minorHAnsi" w:hAnsiTheme="minorHAnsi" w:cstheme="minorBidi"/>
            <w:b w:val="0"/>
            <w:i w:val="0"/>
            <w:noProof/>
            <w:sz w:val="21"/>
            <w:szCs w:val="22"/>
          </w:rPr>
          <w:tab/>
        </w:r>
        <w:r w:rsidRPr="009258F6">
          <w:rPr>
            <w:rStyle w:val="af0"/>
            <w:noProof/>
          </w:rPr>
          <w:t>If more than one SCS-specific carrier for an IAB-DU cell is reported to CU, IAB-DU should know which SCS-specific carrier is used by CU to define the RB sets for H/S/NA resource configuration in frequency domian.</w:t>
        </w:r>
      </w:hyperlink>
    </w:p>
    <w:p w:rsidR="00071423" w:rsidRDefault="0012771F">
      <w:pPr>
        <w:tabs>
          <w:tab w:val="decimal" w:pos="0"/>
          <w:tab w:val="left" w:pos="1470"/>
          <w:tab w:val="right" w:pos="9660"/>
        </w:tabs>
        <w:spacing w:before="120" w:after="120"/>
        <w:rPr>
          <w:sz w:val="20"/>
        </w:rPr>
      </w:pPr>
      <w:r>
        <w:rPr>
          <w:sz w:val="20"/>
        </w:rPr>
        <w:fldChar w:fldCharType="end"/>
      </w:r>
    </w:p>
    <w:p w:rsidR="0012771F" w:rsidRDefault="0012771F">
      <w:pPr>
        <w:pStyle w:val="10"/>
        <w:tabs>
          <w:tab w:val="left" w:pos="1282"/>
          <w:tab w:val="right" w:pos="9650"/>
        </w:tabs>
        <w:spacing w:before="120" w:after="120"/>
        <w:rPr>
          <w:rFonts w:asciiTheme="minorHAnsi" w:hAnsiTheme="minorHAnsi" w:cstheme="minorBidi"/>
          <w:b w:val="0"/>
          <w:i w:val="0"/>
          <w:noProof/>
          <w:sz w:val="21"/>
          <w:szCs w:val="22"/>
        </w:rPr>
      </w:pPr>
      <w:r>
        <w:fldChar w:fldCharType="begin"/>
      </w:r>
      <w:r>
        <w:instrText>TOC \n  \t "YJ-Proposal,1,sub-proposal,2,3rd level proposal,3" \h</w:instrText>
      </w:r>
      <w:r>
        <w:fldChar w:fldCharType="separate"/>
      </w:r>
      <w:hyperlink w:anchor="_Toc71538424" w:history="1">
        <w:r w:rsidRPr="00651755">
          <w:rPr>
            <w:rStyle w:val="af0"/>
            <w:rFonts w:eastAsia="宋体"/>
            <w:noProof/>
          </w:rPr>
          <w:t>Proposal 1:</w:t>
        </w:r>
        <w:r>
          <w:rPr>
            <w:rFonts w:asciiTheme="minorHAnsi" w:hAnsiTheme="minorHAnsi" w:cstheme="minorBidi"/>
            <w:b w:val="0"/>
            <w:i w:val="0"/>
            <w:noProof/>
            <w:sz w:val="21"/>
            <w:szCs w:val="22"/>
          </w:rPr>
          <w:tab/>
        </w:r>
        <w:r w:rsidRPr="00651755">
          <w:rPr>
            <w:rStyle w:val="af0"/>
            <w:noProof/>
          </w:rPr>
          <w:t>A reference carrier used for H/S/NA resource configuration in frequency-domain for an IAB-DU cell should be specified.</w:t>
        </w:r>
      </w:hyperlink>
    </w:p>
    <w:p w:rsidR="0012771F" w:rsidRDefault="0012771F">
      <w:pPr>
        <w:pStyle w:val="10"/>
        <w:tabs>
          <w:tab w:val="left" w:pos="1282"/>
          <w:tab w:val="right" w:pos="9650"/>
        </w:tabs>
        <w:spacing w:before="120" w:after="120"/>
        <w:rPr>
          <w:rFonts w:asciiTheme="minorHAnsi" w:hAnsiTheme="minorHAnsi" w:cstheme="minorBidi"/>
          <w:b w:val="0"/>
          <w:i w:val="0"/>
          <w:noProof/>
          <w:sz w:val="21"/>
          <w:szCs w:val="22"/>
        </w:rPr>
      </w:pPr>
      <w:hyperlink w:anchor="_Toc71538425" w:history="1">
        <w:r w:rsidRPr="00651755">
          <w:rPr>
            <w:rStyle w:val="af0"/>
            <w:rFonts w:eastAsia="宋体"/>
            <w:noProof/>
          </w:rPr>
          <w:t>Proposal 2:</w:t>
        </w:r>
        <w:r>
          <w:rPr>
            <w:rFonts w:asciiTheme="minorHAnsi" w:hAnsiTheme="minorHAnsi" w:cstheme="minorBidi"/>
            <w:b w:val="0"/>
            <w:i w:val="0"/>
            <w:noProof/>
            <w:sz w:val="21"/>
            <w:szCs w:val="22"/>
          </w:rPr>
          <w:tab/>
        </w:r>
        <w:r w:rsidRPr="00651755">
          <w:rPr>
            <w:rStyle w:val="af0"/>
            <w:noProof/>
          </w:rPr>
          <w:t>Parent nodes should be made aware of the carrier frequency information and reference carrier of an IAB DU cell.</w:t>
        </w:r>
      </w:hyperlink>
    </w:p>
    <w:p w:rsidR="0012771F" w:rsidRDefault="0012771F">
      <w:pPr>
        <w:pStyle w:val="21"/>
        <w:tabs>
          <w:tab w:val="left" w:pos="862"/>
          <w:tab w:val="right" w:pos="9650"/>
        </w:tabs>
        <w:spacing w:before="120" w:after="120"/>
        <w:ind w:left="822" w:hanging="402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hyperlink w:anchor="_Toc71538426" w:history="1">
        <w:r w:rsidRPr="00651755">
          <w:rPr>
            <w:rStyle w:val="af0"/>
            <w:rFonts w:ascii="Arial" w:hAnsi="Arial" w:cs="Arial"/>
            <w:noProof/>
          </w:rPr>
          <w:t>•</w:t>
        </w:r>
        <w:r>
          <w:rPr>
            <w:rFonts w:asciiTheme="minorHAnsi" w:eastAsiaTheme="minorEastAsia" w:hAnsiTheme="minorHAnsi" w:cstheme="minorBidi"/>
            <w:b w:val="0"/>
            <w:i w:val="0"/>
            <w:noProof/>
            <w:sz w:val="21"/>
            <w:szCs w:val="22"/>
          </w:rPr>
          <w:tab/>
        </w:r>
        <w:r w:rsidRPr="00651755">
          <w:rPr>
            <w:rStyle w:val="af0"/>
            <w:noProof/>
          </w:rPr>
          <w:t>FFS: how to indicates the IAB-DU cell H/S/NA resource configuration in frequency-domain to the parent node by CU</w:t>
        </w:r>
      </w:hyperlink>
    </w:p>
    <w:p w:rsidR="00071423" w:rsidRDefault="0012771F">
      <w:pPr>
        <w:tabs>
          <w:tab w:val="left" w:pos="2520"/>
        </w:tabs>
        <w:spacing w:before="120" w:after="120"/>
        <w:rPr>
          <w:rFonts w:hint="eastAsia"/>
          <w:sz w:val="20"/>
        </w:rPr>
      </w:pPr>
      <w:r>
        <w:rPr>
          <w:sz w:val="20"/>
        </w:rPr>
        <w:fldChar w:fldCharType="end"/>
      </w:r>
      <w:bookmarkStart w:id="17" w:name="_GoBack"/>
      <w:bookmarkEnd w:id="17"/>
    </w:p>
    <w:p w:rsidR="00071423" w:rsidRDefault="0012771F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Reference</w:t>
      </w:r>
      <w:r>
        <w:rPr>
          <w:rFonts w:eastAsia="宋体"/>
        </w:rPr>
        <w:t>s</w:t>
      </w:r>
    </w:p>
    <w:p w:rsidR="00071423" w:rsidRDefault="0012771F">
      <w:pPr>
        <w:pStyle w:val="References"/>
        <w:spacing w:before="120" w:after="120"/>
        <w:ind w:left="363" w:hanging="363"/>
      </w:pPr>
      <w:r>
        <w:rPr>
          <w:rFonts w:hint="eastAsia"/>
        </w:rPr>
        <w:t>Chair's Notes RAN1#10</w:t>
      </w:r>
      <w:r>
        <w:rPr>
          <w:rFonts w:hint="eastAsia"/>
        </w:rPr>
        <w:t>4b</w:t>
      </w:r>
      <w:r>
        <w:rPr>
          <w:rFonts w:hint="eastAsia"/>
        </w:rPr>
        <w:t>-e</w:t>
      </w:r>
    </w:p>
    <w:p w:rsidR="00071423" w:rsidRDefault="0012771F">
      <w:pPr>
        <w:pStyle w:val="References"/>
        <w:spacing w:before="120" w:after="120"/>
        <w:ind w:left="363" w:hanging="363"/>
      </w:pPr>
      <w:r>
        <w:t xml:space="preserve">TS38.473 3GPP NG-RAN F1 application protocol (F1-AP) </w:t>
      </w:r>
    </w:p>
    <w:sectPr w:rsidR="0007142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12771F">
      <w:pPr>
        <w:spacing w:before="120" w:after="120" w:line="240" w:lineRule="auto"/>
      </w:pPr>
      <w:r>
        <w:separator/>
      </w:r>
    </w:p>
  </w:endnote>
  <w:endnote w:type="continuationSeparator" w:id="0">
    <w:p w:rsidR="00000000" w:rsidRDefault="0012771F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1423" w:rsidRDefault="00071423">
    <w:pPr>
      <w:pStyle w:val="a9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334744"/>
    </w:sdtPr>
    <w:sdtEndPr/>
    <w:sdtContent>
      <w:p w:rsidR="00071423" w:rsidRDefault="0012771F">
        <w:pPr>
          <w:pStyle w:val="a9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071423" w:rsidRDefault="00071423">
    <w:pPr>
      <w:pStyle w:val="a9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1423" w:rsidRDefault="00071423">
    <w:pPr>
      <w:pStyle w:val="a9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12771F">
      <w:pPr>
        <w:spacing w:before="120" w:after="120" w:line="240" w:lineRule="auto"/>
      </w:pPr>
      <w:r>
        <w:separator/>
      </w:r>
    </w:p>
  </w:footnote>
  <w:footnote w:type="continuationSeparator" w:id="0">
    <w:p w:rsidR="00000000" w:rsidRDefault="0012771F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1423" w:rsidRDefault="00071423">
    <w:pPr>
      <w:pStyle w:val="aa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1423" w:rsidRDefault="00071423">
    <w:pPr>
      <w:pStyle w:val="aa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1423" w:rsidRDefault="00071423">
    <w:pPr>
      <w:pStyle w:val="aa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1">
    <w:nsid w:val="CE44A3D1"/>
    <w:multiLevelType w:val="singleLevel"/>
    <w:tmpl w:val="CE44A3D1"/>
    <w:lvl w:ilvl="0">
      <w:start w:val="1"/>
      <w:numFmt w:val="bullet"/>
      <w:pStyle w:val="sub-proposal"/>
      <w:lvlText w:val="•"/>
      <w:lvlJc w:val="left"/>
      <w:pPr>
        <w:tabs>
          <w:tab w:val="left" w:pos="807"/>
        </w:tabs>
        <w:ind w:left="420" w:firstLine="0"/>
      </w:pPr>
      <w:rPr>
        <w:rFonts w:ascii="Arial" w:hAnsi="Arial" w:cs="Arial" w:hint="default"/>
      </w:rPr>
    </w:lvl>
  </w:abstractNum>
  <w:abstractNum w:abstractNumId="2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>
    <w:nsid w:val="162B1A8B"/>
    <w:multiLevelType w:val="multilevel"/>
    <w:tmpl w:val="162B1A8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343BB7"/>
    <w:multiLevelType w:val="singleLevel"/>
    <w:tmpl w:val="31343BB7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5">
    <w:nsid w:val="372AA324"/>
    <w:multiLevelType w:val="multilevel"/>
    <w:tmpl w:val="372AA324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6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>
    <w:nsid w:val="43FCA2C8"/>
    <w:multiLevelType w:val="singleLevel"/>
    <w:tmpl w:val="43FCA2C8"/>
    <w:lvl w:ilvl="0">
      <w:start w:val="1"/>
      <w:numFmt w:val="lowerRoman"/>
      <w:pStyle w:val="3rdlevelobservation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54E2"/>
    <w:rsid w:val="00071423"/>
    <w:rsid w:val="000731D9"/>
    <w:rsid w:val="000A2EE5"/>
    <w:rsid w:val="000C23F8"/>
    <w:rsid w:val="000D05AA"/>
    <w:rsid w:val="000E7CD3"/>
    <w:rsid w:val="0012771F"/>
    <w:rsid w:val="00167D1E"/>
    <w:rsid w:val="00172A27"/>
    <w:rsid w:val="00175FEC"/>
    <w:rsid w:val="00220CC6"/>
    <w:rsid w:val="0022267B"/>
    <w:rsid w:val="0029664F"/>
    <w:rsid w:val="002A0BF2"/>
    <w:rsid w:val="002C59CF"/>
    <w:rsid w:val="0031325A"/>
    <w:rsid w:val="00334292"/>
    <w:rsid w:val="00376C34"/>
    <w:rsid w:val="00384F99"/>
    <w:rsid w:val="00395697"/>
    <w:rsid w:val="003A1203"/>
    <w:rsid w:val="003E6CCE"/>
    <w:rsid w:val="0040257E"/>
    <w:rsid w:val="00404FF0"/>
    <w:rsid w:val="00405665"/>
    <w:rsid w:val="00433B93"/>
    <w:rsid w:val="00435878"/>
    <w:rsid w:val="004A5900"/>
    <w:rsid w:val="004C0DBD"/>
    <w:rsid w:val="004C4675"/>
    <w:rsid w:val="004F2D29"/>
    <w:rsid w:val="004F6201"/>
    <w:rsid w:val="00500B54"/>
    <w:rsid w:val="0051732E"/>
    <w:rsid w:val="005265A6"/>
    <w:rsid w:val="00565453"/>
    <w:rsid w:val="00565559"/>
    <w:rsid w:val="005B065E"/>
    <w:rsid w:val="005C03CC"/>
    <w:rsid w:val="006369E0"/>
    <w:rsid w:val="0066322D"/>
    <w:rsid w:val="006757F1"/>
    <w:rsid w:val="006921E5"/>
    <w:rsid w:val="0069512F"/>
    <w:rsid w:val="00695650"/>
    <w:rsid w:val="00697EBB"/>
    <w:rsid w:val="006B4DFD"/>
    <w:rsid w:val="0070284D"/>
    <w:rsid w:val="00726BCF"/>
    <w:rsid w:val="00733AB8"/>
    <w:rsid w:val="00740B89"/>
    <w:rsid w:val="0077184F"/>
    <w:rsid w:val="007B39E8"/>
    <w:rsid w:val="007B51B3"/>
    <w:rsid w:val="007E5750"/>
    <w:rsid w:val="00823F23"/>
    <w:rsid w:val="00837885"/>
    <w:rsid w:val="008F6930"/>
    <w:rsid w:val="0090458B"/>
    <w:rsid w:val="00935B63"/>
    <w:rsid w:val="00936426"/>
    <w:rsid w:val="00955583"/>
    <w:rsid w:val="0096044C"/>
    <w:rsid w:val="009904A9"/>
    <w:rsid w:val="0099160A"/>
    <w:rsid w:val="00996F89"/>
    <w:rsid w:val="009C6D56"/>
    <w:rsid w:val="009E3245"/>
    <w:rsid w:val="009E7529"/>
    <w:rsid w:val="009F3678"/>
    <w:rsid w:val="009F7489"/>
    <w:rsid w:val="00A163E3"/>
    <w:rsid w:val="00A521CA"/>
    <w:rsid w:val="00AC03D1"/>
    <w:rsid w:val="00B04112"/>
    <w:rsid w:val="00B22688"/>
    <w:rsid w:val="00B5700F"/>
    <w:rsid w:val="00B6123B"/>
    <w:rsid w:val="00B6403D"/>
    <w:rsid w:val="00B646BE"/>
    <w:rsid w:val="00B675A2"/>
    <w:rsid w:val="00B75F9E"/>
    <w:rsid w:val="00B81A17"/>
    <w:rsid w:val="00B82A09"/>
    <w:rsid w:val="00B82BEF"/>
    <w:rsid w:val="00B9727F"/>
    <w:rsid w:val="00BB423E"/>
    <w:rsid w:val="00BE204A"/>
    <w:rsid w:val="00C06B18"/>
    <w:rsid w:val="00C12E91"/>
    <w:rsid w:val="00C229E2"/>
    <w:rsid w:val="00C5250B"/>
    <w:rsid w:val="00C67E62"/>
    <w:rsid w:val="00C97A84"/>
    <w:rsid w:val="00CA2622"/>
    <w:rsid w:val="00CA43AD"/>
    <w:rsid w:val="00CB3383"/>
    <w:rsid w:val="00CD3BAB"/>
    <w:rsid w:val="00CE007D"/>
    <w:rsid w:val="00CF5CB2"/>
    <w:rsid w:val="00CF7BB0"/>
    <w:rsid w:val="00D64D14"/>
    <w:rsid w:val="00D83922"/>
    <w:rsid w:val="00DC658B"/>
    <w:rsid w:val="00DE1BC7"/>
    <w:rsid w:val="00DE3ABE"/>
    <w:rsid w:val="00E34B89"/>
    <w:rsid w:val="00E36661"/>
    <w:rsid w:val="00E865D3"/>
    <w:rsid w:val="00E8734D"/>
    <w:rsid w:val="00EC0971"/>
    <w:rsid w:val="00EC171F"/>
    <w:rsid w:val="00EC3177"/>
    <w:rsid w:val="00EE1459"/>
    <w:rsid w:val="00EF52B5"/>
    <w:rsid w:val="00F063F3"/>
    <w:rsid w:val="00F15363"/>
    <w:rsid w:val="00F24E71"/>
    <w:rsid w:val="00F447C8"/>
    <w:rsid w:val="00F461EF"/>
    <w:rsid w:val="00F978F9"/>
    <w:rsid w:val="00FA0A08"/>
    <w:rsid w:val="00FA7AB4"/>
    <w:rsid w:val="00FB3F4B"/>
    <w:rsid w:val="00FC03CC"/>
    <w:rsid w:val="00FC5E14"/>
    <w:rsid w:val="00FD2DE4"/>
    <w:rsid w:val="00FE4F57"/>
    <w:rsid w:val="015702F1"/>
    <w:rsid w:val="015B20BD"/>
    <w:rsid w:val="016D1459"/>
    <w:rsid w:val="01764F01"/>
    <w:rsid w:val="01782D97"/>
    <w:rsid w:val="021660AD"/>
    <w:rsid w:val="02212D7E"/>
    <w:rsid w:val="024D6B6A"/>
    <w:rsid w:val="029B04E7"/>
    <w:rsid w:val="02B0155C"/>
    <w:rsid w:val="03073BDC"/>
    <w:rsid w:val="033F44DC"/>
    <w:rsid w:val="036B3CA6"/>
    <w:rsid w:val="03853D24"/>
    <w:rsid w:val="03C07821"/>
    <w:rsid w:val="03DB0701"/>
    <w:rsid w:val="03FA05E4"/>
    <w:rsid w:val="041D69DB"/>
    <w:rsid w:val="04824ADC"/>
    <w:rsid w:val="049820AC"/>
    <w:rsid w:val="04F43DBC"/>
    <w:rsid w:val="0555228E"/>
    <w:rsid w:val="059D1E39"/>
    <w:rsid w:val="05E078B3"/>
    <w:rsid w:val="06100D8B"/>
    <w:rsid w:val="061A6A42"/>
    <w:rsid w:val="065D038F"/>
    <w:rsid w:val="069524E0"/>
    <w:rsid w:val="069635DB"/>
    <w:rsid w:val="06B1660B"/>
    <w:rsid w:val="06B2024B"/>
    <w:rsid w:val="06DF203C"/>
    <w:rsid w:val="07637E02"/>
    <w:rsid w:val="077D0583"/>
    <w:rsid w:val="079724D0"/>
    <w:rsid w:val="080E67B4"/>
    <w:rsid w:val="082A352F"/>
    <w:rsid w:val="0890537A"/>
    <w:rsid w:val="08C349D1"/>
    <w:rsid w:val="09F67CD5"/>
    <w:rsid w:val="0AE23704"/>
    <w:rsid w:val="0B9E71DF"/>
    <w:rsid w:val="0BA2140D"/>
    <w:rsid w:val="0BBA4E15"/>
    <w:rsid w:val="0BFD198D"/>
    <w:rsid w:val="0C423297"/>
    <w:rsid w:val="0C6450EC"/>
    <w:rsid w:val="0C7B0B06"/>
    <w:rsid w:val="0C89227F"/>
    <w:rsid w:val="0C9D30C2"/>
    <w:rsid w:val="0D303B09"/>
    <w:rsid w:val="0D553026"/>
    <w:rsid w:val="0D772C9C"/>
    <w:rsid w:val="0D91205B"/>
    <w:rsid w:val="0E172BD0"/>
    <w:rsid w:val="0E270DBD"/>
    <w:rsid w:val="0E6122BF"/>
    <w:rsid w:val="0E8F5401"/>
    <w:rsid w:val="0EFF5C2D"/>
    <w:rsid w:val="0F2563AB"/>
    <w:rsid w:val="0FD74648"/>
    <w:rsid w:val="0FFC20A5"/>
    <w:rsid w:val="10254982"/>
    <w:rsid w:val="109F3465"/>
    <w:rsid w:val="10A50104"/>
    <w:rsid w:val="10AD1CC0"/>
    <w:rsid w:val="10E348C8"/>
    <w:rsid w:val="119D7849"/>
    <w:rsid w:val="11B87794"/>
    <w:rsid w:val="1242135C"/>
    <w:rsid w:val="139868A2"/>
    <w:rsid w:val="13A1683F"/>
    <w:rsid w:val="147418D7"/>
    <w:rsid w:val="14DA3DA1"/>
    <w:rsid w:val="15945075"/>
    <w:rsid w:val="15F1581D"/>
    <w:rsid w:val="169F6619"/>
    <w:rsid w:val="16B42D4F"/>
    <w:rsid w:val="17155857"/>
    <w:rsid w:val="17950508"/>
    <w:rsid w:val="17CC176B"/>
    <w:rsid w:val="189D47FD"/>
    <w:rsid w:val="19010C43"/>
    <w:rsid w:val="19084C73"/>
    <w:rsid w:val="19200C2D"/>
    <w:rsid w:val="196257F1"/>
    <w:rsid w:val="1970363B"/>
    <w:rsid w:val="1A054259"/>
    <w:rsid w:val="1A2E0961"/>
    <w:rsid w:val="1A465517"/>
    <w:rsid w:val="1AED7764"/>
    <w:rsid w:val="1B3C1E7E"/>
    <w:rsid w:val="1B7F6005"/>
    <w:rsid w:val="1BF41F4E"/>
    <w:rsid w:val="1C102B7D"/>
    <w:rsid w:val="1C132CB9"/>
    <w:rsid w:val="1C330235"/>
    <w:rsid w:val="1CAB67AC"/>
    <w:rsid w:val="1CCC26CA"/>
    <w:rsid w:val="1D736D6E"/>
    <w:rsid w:val="1DA2248D"/>
    <w:rsid w:val="1DED6FF3"/>
    <w:rsid w:val="1E151C5A"/>
    <w:rsid w:val="1E155F21"/>
    <w:rsid w:val="1E664B2D"/>
    <w:rsid w:val="1E9D6342"/>
    <w:rsid w:val="1E9F7677"/>
    <w:rsid w:val="1ED17146"/>
    <w:rsid w:val="1EE26241"/>
    <w:rsid w:val="1F737B98"/>
    <w:rsid w:val="1F7479F8"/>
    <w:rsid w:val="1FAE4DCB"/>
    <w:rsid w:val="1FE11599"/>
    <w:rsid w:val="202A4795"/>
    <w:rsid w:val="204E6676"/>
    <w:rsid w:val="20511086"/>
    <w:rsid w:val="206E1AB6"/>
    <w:rsid w:val="20712797"/>
    <w:rsid w:val="20A52437"/>
    <w:rsid w:val="20BD6DD9"/>
    <w:rsid w:val="20CB6FE0"/>
    <w:rsid w:val="210838FC"/>
    <w:rsid w:val="211A0695"/>
    <w:rsid w:val="2195668B"/>
    <w:rsid w:val="21AA1991"/>
    <w:rsid w:val="21BE5AD4"/>
    <w:rsid w:val="21C90F74"/>
    <w:rsid w:val="21EC1042"/>
    <w:rsid w:val="225D3BA2"/>
    <w:rsid w:val="22B13907"/>
    <w:rsid w:val="23523D5B"/>
    <w:rsid w:val="23733000"/>
    <w:rsid w:val="23733413"/>
    <w:rsid w:val="23B71DF0"/>
    <w:rsid w:val="23DA1E98"/>
    <w:rsid w:val="24421E8F"/>
    <w:rsid w:val="245C52F8"/>
    <w:rsid w:val="2463385E"/>
    <w:rsid w:val="24D77AFB"/>
    <w:rsid w:val="24E702E9"/>
    <w:rsid w:val="24FF133F"/>
    <w:rsid w:val="2508650D"/>
    <w:rsid w:val="25134332"/>
    <w:rsid w:val="25722255"/>
    <w:rsid w:val="257E508F"/>
    <w:rsid w:val="2653091D"/>
    <w:rsid w:val="26595706"/>
    <w:rsid w:val="26A168EB"/>
    <w:rsid w:val="279863A0"/>
    <w:rsid w:val="27AB7429"/>
    <w:rsid w:val="28311F29"/>
    <w:rsid w:val="285C053E"/>
    <w:rsid w:val="28663D87"/>
    <w:rsid w:val="28911DA4"/>
    <w:rsid w:val="29DB0BB6"/>
    <w:rsid w:val="29FA7F26"/>
    <w:rsid w:val="2A115137"/>
    <w:rsid w:val="2A4E36C4"/>
    <w:rsid w:val="2A834EF2"/>
    <w:rsid w:val="2B376233"/>
    <w:rsid w:val="2B5D3F6B"/>
    <w:rsid w:val="2B774832"/>
    <w:rsid w:val="2B861983"/>
    <w:rsid w:val="2BAA3A2F"/>
    <w:rsid w:val="2CB47BAD"/>
    <w:rsid w:val="2CBA312D"/>
    <w:rsid w:val="2CBB479D"/>
    <w:rsid w:val="2CC16BCB"/>
    <w:rsid w:val="2D400079"/>
    <w:rsid w:val="2DAE78F4"/>
    <w:rsid w:val="2DB40767"/>
    <w:rsid w:val="2DC56BFE"/>
    <w:rsid w:val="2E9F0C6A"/>
    <w:rsid w:val="2EAF6620"/>
    <w:rsid w:val="2F1251F2"/>
    <w:rsid w:val="2F48200A"/>
    <w:rsid w:val="2FC86D5D"/>
    <w:rsid w:val="30962F3E"/>
    <w:rsid w:val="30B466C4"/>
    <w:rsid w:val="30D17E68"/>
    <w:rsid w:val="30FF2795"/>
    <w:rsid w:val="310B744E"/>
    <w:rsid w:val="31136AEE"/>
    <w:rsid w:val="313B70B9"/>
    <w:rsid w:val="31CE35AD"/>
    <w:rsid w:val="328C47B2"/>
    <w:rsid w:val="329A6ACE"/>
    <w:rsid w:val="32BF53D3"/>
    <w:rsid w:val="32C96B57"/>
    <w:rsid w:val="3306388C"/>
    <w:rsid w:val="34A126EA"/>
    <w:rsid w:val="34A3771F"/>
    <w:rsid w:val="34AF1772"/>
    <w:rsid w:val="34E5359A"/>
    <w:rsid w:val="35014D01"/>
    <w:rsid w:val="350D0BAE"/>
    <w:rsid w:val="35141A17"/>
    <w:rsid w:val="35260C93"/>
    <w:rsid w:val="35E341B6"/>
    <w:rsid w:val="35E42057"/>
    <w:rsid w:val="35E528C4"/>
    <w:rsid w:val="360B1D73"/>
    <w:rsid w:val="361F3323"/>
    <w:rsid w:val="36A80195"/>
    <w:rsid w:val="36CA7148"/>
    <w:rsid w:val="36E93760"/>
    <w:rsid w:val="36FD4529"/>
    <w:rsid w:val="3784394E"/>
    <w:rsid w:val="3823721F"/>
    <w:rsid w:val="38AE3BB0"/>
    <w:rsid w:val="38BB682E"/>
    <w:rsid w:val="39D51AF2"/>
    <w:rsid w:val="39EE23EC"/>
    <w:rsid w:val="3A04068E"/>
    <w:rsid w:val="3ACB5746"/>
    <w:rsid w:val="3AFD505F"/>
    <w:rsid w:val="3B2F275D"/>
    <w:rsid w:val="3B4345A5"/>
    <w:rsid w:val="3B4E3C4C"/>
    <w:rsid w:val="3BB20883"/>
    <w:rsid w:val="3C142E37"/>
    <w:rsid w:val="3C3D7506"/>
    <w:rsid w:val="3C5A4EA4"/>
    <w:rsid w:val="3C736E72"/>
    <w:rsid w:val="3CBC6328"/>
    <w:rsid w:val="3D0836E8"/>
    <w:rsid w:val="3DBF4CC8"/>
    <w:rsid w:val="3E2A3166"/>
    <w:rsid w:val="3E3B5572"/>
    <w:rsid w:val="3E441C7D"/>
    <w:rsid w:val="3E494A1E"/>
    <w:rsid w:val="3E6B774C"/>
    <w:rsid w:val="3EBA19A4"/>
    <w:rsid w:val="3F5E11B9"/>
    <w:rsid w:val="3FC956FF"/>
    <w:rsid w:val="3FEF0F46"/>
    <w:rsid w:val="40205795"/>
    <w:rsid w:val="40A36A71"/>
    <w:rsid w:val="40CF105F"/>
    <w:rsid w:val="41D3631F"/>
    <w:rsid w:val="41F10868"/>
    <w:rsid w:val="41F466FD"/>
    <w:rsid w:val="42063A2E"/>
    <w:rsid w:val="426B41A0"/>
    <w:rsid w:val="42A67A24"/>
    <w:rsid w:val="42D846B9"/>
    <w:rsid w:val="42F4675D"/>
    <w:rsid w:val="43352381"/>
    <w:rsid w:val="43666FF5"/>
    <w:rsid w:val="438E2DA7"/>
    <w:rsid w:val="438E69E2"/>
    <w:rsid w:val="43C20E87"/>
    <w:rsid w:val="440D5045"/>
    <w:rsid w:val="442D0474"/>
    <w:rsid w:val="4448179D"/>
    <w:rsid w:val="44DD00D9"/>
    <w:rsid w:val="452242AD"/>
    <w:rsid w:val="459E4FC8"/>
    <w:rsid w:val="45B55022"/>
    <w:rsid w:val="45BE6191"/>
    <w:rsid w:val="45DD4FD0"/>
    <w:rsid w:val="460C5979"/>
    <w:rsid w:val="476077FF"/>
    <w:rsid w:val="47701E40"/>
    <w:rsid w:val="47BF1887"/>
    <w:rsid w:val="47C01792"/>
    <w:rsid w:val="480304B2"/>
    <w:rsid w:val="4808150F"/>
    <w:rsid w:val="483069DE"/>
    <w:rsid w:val="489C5D93"/>
    <w:rsid w:val="490E085B"/>
    <w:rsid w:val="498A04F2"/>
    <w:rsid w:val="49E9233D"/>
    <w:rsid w:val="4A0B4E23"/>
    <w:rsid w:val="4A1C6083"/>
    <w:rsid w:val="4A292E2A"/>
    <w:rsid w:val="4A3B68B3"/>
    <w:rsid w:val="4AAD1944"/>
    <w:rsid w:val="4AC31003"/>
    <w:rsid w:val="4AD74BE4"/>
    <w:rsid w:val="4AE93159"/>
    <w:rsid w:val="4B2951ED"/>
    <w:rsid w:val="4BC26F18"/>
    <w:rsid w:val="4BD0339A"/>
    <w:rsid w:val="4CC32450"/>
    <w:rsid w:val="4D2624F7"/>
    <w:rsid w:val="4D462159"/>
    <w:rsid w:val="4D5C5FAC"/>
    <w:rsid w:val="4D903CAF"/>
    <w:rsid w:val="4D9513F6"/>
    <w:rsid w:val="4DB00E6A"/>
    <w:rsid w:val="4DBF6042"/>
    <w:rsid w:val="4DC605B6"/>
    <w:rsid w:val="4DD636F4"/>
    <w:rsid w:val="4DEC0985"/>
    <w:rsid w:val="4E27683A"/>
    <w:rsid w:val="4E354B62"/>
    <w:rsid w:val="4E4955E8"/>
    <w:rsid w:val="4E6A4780"/>
    <w:rsid w:val="4F2765B1"/>
    <w:rsid w:val="4F285975"/>
    <w:rsid w:val="4FFD30B0"/>
    <w:rsid w:val="506901EE"/>
    <w:rsid w:val="50961E20"/>
    <w:rsid w:val="51867298"/>
    <w:rsid w:val="51B71D35"/>
    <w:rsid w:val="51BC6AA4"/>
    <w:rsid w:val="52195EDF"/>
    <w:rsid w:val="52313387"/>
    <w:rsid w:val="52B2717C"/>
    <w:rsid w:val="52B30520"/>
    <w:rsid w:val="52DC42BA"/>
    <w:rsid w:val="52E04D27"/>
    <w:rsid w:val="538D4AB7"/>
    <w:rsid w:val="539A390F"/>
    <w:rsid w:val="53DB3477"/>
    <w:rsid w:val="540C5529"/>
    <w:rsid w:val="54761BC2"/>
    <w:rsid w:val="54983F44"/>
    <w:rsid w:val="54A3122C"/>
    <w:rsid w:val="54AF6B42"/>
    <w:rsid w:val="54BB3E92"/>
    <w:rsid w:val="55BA37EE"/>
    <w:rsid w:val="55C32F84"/>
    <w:rsid w:val="55DD6F2A"/>
    <w:rsid w:val="563D4C53"/>
    <w:rsid w:val="567C15E8"/>
    <w:rsid w:val="56E23970"/>
    <w:rsid w:val="5781455A"/>
    <w:rsid w:val="578F220A"/>
    <w:rsid w:val="57FC07D9"/>
    <w:rsid w:val="58500F22"/>
    <w:rsid w:val="588E0520"/>
    <w:rsid w:val="591C0009"/>
    <w:rsid w:val="59434CE5"/>
    <w:rsid w:val="59724FAA"/>
    <w:rsid w:val="5AC32943"/>
    <w:rsid w:val="5ACF0F3A"/>
    <w:rsid w:val="5B910D3F"/>
    <w:rsid w:val="5BC27482"/>
    <w:rsid w:val="5C260433"/>
    <w:rsid w:val="5C353060"/>
    <w:rsid w:val="5C3E4F80"/>
    <w:rsid w:val="5C6B1600"/>
    <w:rsid w:val="5C921AD0"/>
    <w:rsid w:val="5C9B41C3"/>
    <w:rsid w:val="5CAB13C1"/>
    <w:rsid w:val="5CCC0667"/>
    <w:rsid w:val="5D0F4006"/>
    <w:rsid w:val="5DA665F1"/>
    <w:rsid w:val="5DFD51DB"/>
    <w:rsid w:val="5E0D36E5"/>
    <w:rsid w:val="5E107E6E"/>
    <w:rsid w:val="5E1F057A"/>
    <w:rsid w:val="5E32205B"/>
    <w:rsid w:val="5EE94C0E"/>
    <w:rsid w:val="5F8E64F1"/>
    <w:rsid w:val="5FB25365"/>
    <w:rsid w:val="603D7741"/>
    <w:rsid w:val="60595B07"/>
    <w:rsid w:val="607C3753"/>
    <w:rsid w:val="60C30855"/>
    <w:rsid w:val="61421EFD"/>
    <w:rsid w:val="615C5041"/>
    <w:rsid w:val="61A616EB"/>
    <w:rsid w:val="62B00965"/>
    <w:rsid w:val="62DC23EB"/>
    <w:rsid w:val="63182FFE"/>
    <w:rsid w:val="63383084"/>
    <w:rsid w:val="639854D4"/>
    <w:rsid w:val="63C5603D"/>
    <w:rsid w:val="63D72C60"/>
    <w:rsid w:val="64E72AC4"/>
    <w:rsid w:val="65245052"/>
    <w:rsid w:val="664805B8"/>
    <w:rsid w:val="665A2A0A"/>
    <w:rsid w:val="666E489B"/>
    <w:rsid w:val="669A3AC9"/>
    <w:rsid w:val="68165453"/>
    <w:rsid w:val="68451BCA"/>
    <w:rsid w:val="684652BD"/>
    <w:rsid w:val="6864278A"/>
    <w:rsid w:val="68C96DCD"/>
    <w:rsid w:val="68EF72DA"/>
    <w:rsid w:val="690F418B"/>
    <w:rsid w:val="695606A3"/>
    <w:rsid w:val="69DC279E"/>
    <w:rsid w:val="6A363544"/>
    <w:rsid w:val="6A7A2736"/>
    <w:rsid w:val="6A7B4B9C"/>
    <w:rsid w:val="6B520D4E"/>
    <w:rsid w:val="6B9E1D81"/>
    <w:rsid w:val="6BA651DA"/>
    <w:rsid w:val="6C89456C"/>
    <w:rsid w:val="6D5F3DDE"/>
    <w:rsid w:val="6D9F3D11"/>
    <w:rsid w:val="6E0A1043"/>
    <w:rsid w:val="6EA03D2B"/>
    <w:rsid w:val="6F447A5A"/>
    <w:rsid w:val="6FA629D4"/>
    <w:rsid w:val="70453CCB"/>
    <w:rsid w:val="70BB22E5"/>
    <w:rsid w:val="70BB2EF0"/>
    <w:rsid w:val="70D42489"/>
    <w:rsid w:val="70D46AC8"/>
    <w:rsid w:val="70EB0923"/>
    <w:rsid w:val="71343120"/>
    <w:rsid w:val="713B41ED"/>
    <w:rsid w:val="71597A3B"/>
    <w:rsid w:val="71E23BB9"/>
    <w:rsid w:val="727848D1"/>
    <w:rsid w:val="728F0221"/>
    <w:rsid w:val="72A71F44"/>
    <w:rsid w:val="72E50C43"/>
    <w:rsid w:val="731703A9"/>
    <w:rsid w:val="73B90A3E"/>
    <w:rsid w:val="73D425F7"/>
    <w:rsid w:val="750A2023"/>
    <w:rsid w:val="7526648A"/>
    <w:rsid w:val="75F644AF"/>
    <w:rsid w:val="7676736A"/>
    <w:rsid w:val="76933951"/>
    <w:rsid w:val="76B620C0"/>
    <w:rsid w:val="771D661B"/>
    <w:rsid w:val="782235EB"/>
    <w:rsid w:val="78782A0D"/>
    <w:rsid w:val="78EE1454"/>
    <w:rsid w:val="791D3D30"/>
    <w:rsid w:val="793D2063"/>
    <w:rsid w:val="7955351D"/>
    <w:rsid w:val="798F05F8"/>
    <w:rsid w:val="79A2171F"/>
    <w:rsid w:val="79A252FF"/>
    <w:rsid w:val="79A80381"/>
    <w:rsid w:val="79BE5B33"/>
    <w:rsid w:val="79D33056"/>
    <w:rsid w:val="7AC202F9"/>
    <w:rsid w:val="7AD42B4F"/>
    <w:rsid w:val="7B3E7526"/>
    <w:rsid w:val="7C1B5FFE"/>
    <w:rsid w:val="7C26369C"/>
    <w:rsid w:val="7C490025"/>
    <w:rsid w:val="7C706675"/>
    <w:rsid w:val="7C9E5A24"/>
    <w:rsid w:val="7CDA1775"/>
    <w:rsid w:val="7D1F0C75"/>
    <w:rsid w:val="7D37341E"/>
    <w:rsid w:val="7D62117D"/>
    <w:rsid w:val="7DCA1F7D"/>
    <w:rsid w:val="7E027CFB"/>
    <w:rsid w:val="7E3E1EF2"/>
    <w:rsid w:val="7E4827AD"/>
    <w:rsid w:val="7E686F3E"/>
    <w:rsid w:val="7E951513"/>
    <w:rsid w:val="7ED83BA2"/>
    <w:rsid w:val="7EF74FC9"/>
    <w:rsid w:val="7F933BD8"/>
    <w:rsid w:val="7FC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B160A64-0EFA-4138-B638-79650ACAF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 w:qFormat="1"/>
    <w:lsdException w:name="toc 3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qFormat="1"/>
    <w:lsdException w:name="footer" w:unhideWhenUsed="1" w:qFormat="1"/>
    <w:lsdException w:name="index heading" w:semiHidden="1" w:unhideWhenUsed="1"/>
    <w:lsdException w:name="caption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Lines="50" w:afterLines="50" w:after="200" w:line="276" w:lineRule="auto"/>
      <w:jc w:val="both"/>
    </w:pPr>
    <w:rPr>
      <w:kern w:val="2"/>
      <w:sz w:val="21"/>
    </w:rPr>
  </w:style>
  <w:style w:type="paragraph" w:styleId="1">
    <w:name w:val="heading 1"/>
    <w:basedOn w:val="a"/>
    <w:next w:val="YJ--"/>
    <w:qFormat/>
    <w:pPr>
      <w:keepNext/>
      <w:keepLines/>
      <w:numPr>
        <w:numId w:val="1"/>
      </w:numPr>
      <w:pBdr>
        <w:top w:val="single" w:sz="12" w:space="3" w:color="auto"/>
      </w:pBdr>
      <w:ind w:left="630"/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a"/>
    <w:next w:val="a"/>
    <w:qFormat/>
    <w:pP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YJ--">
    <w:name w:val="YJ--正文"/>
    <w:basedOn w:val="a"/>
    <w:qFormat/>
    <w:pPr>
      <w:spacing w:beforeLines="150" w:afterLines="100"/>
      <w:ind w:firstLineChars="200" w:firstLine="1440"/>
    </w:pPr>
    <w:rPr>
      <w:rFonts w:eastAsia="Times New Roman" w:cs="宋体"/>
    </w:rPr>
  </w:style>
  <w:style w:type="paragraph" w:styleId="a3">
    <w:name w:val="caption"/>
    <w:basedOn w:val="a"/>
    <w:next w:val="a"/>
    <w:uiPriority w:val="99"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Document Map"/>
    <w:basedOn w:val="a"/>
    <w:link w:val="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0"/>
    <w:uiPriority w:val="99"/>
    <w:semiHidden/>
    <w:unhideWhenUsed/>
    <w:qFormat/>
    <w:pPr>
      <w:jc w:val="left"/>
    </w:pPr>
  </w:style>
  <w:style w:type="paragraph" w:styleId="a6">
    <w:name w:val="Body Text"/>
    <w:basedOn w:val="a"/>
    <w:unhideWhenUsed/>
    <w:qFormat/>
    <w:pPr>
      <w:widowControl w:val="0"/>
    </w:pPr>
    <w:rPr>
      <w:i/>
    </w:rPr>
  </w:style>
  <w:style w:type="paragraph" w:styleId="20">
    <w:name w:val="List 2"/>
    <w:basedOn w:val="a7"/>
    <w:qFormat/>
    <w:pPr>
      <w:ind w:left="851"/>
    </w:pPr>
  </w:style>
  <w:style w:type="paragraph" w:styleId="a7">
    <w:name w:val="List"/>
    <w:basedOn w:val="a"/>
    <w:qFormat/>
    <w:pPr>
      <w:ind w:left="568" w:hanging="284"/>
    </w:pPr>
  </w:style>
  <w:style w:type="paragraph" w:styleId="30">
    <w:name w:val="toc 3"/>
    <w:basedOn w:val="a"/>
    <w:next w:val="a"/>
    <w:uiPriority w:val="99"/>
    <w:unhideWhenUsed/>
    <w:qFormat/>
    <w:pPr>
      <w:adjustRightInd w:val="0"/>
      <w:ind w:leftChars="400" w:left="1282" w:hangingChars="200" w:hanging="442"/>
    </w:pPr>
    <w:rPr>
      <w:b/>
      <w:i/>
      <w:sz w:val="20"/>
    </w:rPr>
  </w:style>
  <w:style w:type="paragraph" w:styleId="a8">
    <w:name w:val="Balloon Text"/>
    <w:basedOn w:val="a"/>
    <w:link w:val="Char1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9">
    <w:name w:val="footer"/>
    <w:basedOn w:val="a"/>
    <w:link w:val="Char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Char3"/>
    <w:semiHidden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10">
    <w:name w:val="toc 1"/>
    <w:basedOn w:val="a"/>
    <w:next w:val="a"/>
    <w:uiPriority w:val="39"/>
    <w:unhideWhenUsed/>
    <w:qFormat/>
    <w:rPr>
      <w:rFonts w:eastAsiaTheme="minorEastAsia"/>
      <w:b/>
      <w:i/>
      <w:sz w:val="20"/>
    </w:rPr>
  </w:style>
  <w:style w:type="paragraph" w:styleId="ab">
    <w:name w:val="table of figures"/>
    <w:basedOn w:val="a"/>
    <w:next w:val="a"/>
    <w:uiPriority w:val="99"/>
    <w:semiHidden/>
    <w:unhideWhenUsed/>
    <w:qFormat/>
    <w:pPr>
      <w:ind w:leftChars="200" w:left="200" w:hangingChars="200" w:hanging="200"/>
    </w:pPr>
  </w:style>
  <w:style w:type="paragraph" w:styleId="21">
    <w:name w:val="toc 2"/>
    <w:basedOn w:val="a"/>
    <w:next w:val="a"/>
    <w:uiPriority w:val="39"/>
    <w:unhideWhenUsed/>
    <w:qFormat/>
    <w:pPr>
      <w:ind w:leftChars="200" w:left="862" w:hangingChars="200" w:hanging="442"/>
    </w:pPr>
    <w:rPr>
      <w:b/>
      <w:i/>
      <w:sz w:val="20"/>
    </w:rPr>
  </w:style>
  <w:style w:type="paragraph" w:styleId="ac">
    <w:name w:val="Normal (Web)"/>
    <w:basedOn w:val="a"/>
    <w:semiHidden/>
    <w:unhideWhenUsed/>
    <w:qFormat/>
    <w:pPr>
      <w:spacing w:beforeAutospacing="1" w:after="0" w:afterAutospacing="1"/>
      <w:jc w:val="left"/>
    </w:pPr>
    <w:rPr>
      <w:kern w:val="0"/>
      <w:sz w:val="24"/>
    </w:rPr>
  </w:style>
  <w:style w:type="paragraph" w:styleId="ad">
    <w:name w:val="annotation subject"/>
    <w:basedOn w:val="a5"/>
    <w:next w:val="a5"/>
    <w:link w:val="Char4"/>
    <w:uiPriority w:val="99"/>
    <w:semiHidden/>
    <w:unhideWhenUsed/>
    <w:qFormat/>
    <w:pPr>
      <w:spacing w:line="240" w:lineRule="auto"/>
      <w:jc w:val="both"/>
    </w:pPr>
    <w:rPr>
      <w:b/>
      <w:bCs/>
      <w:sz w:val="20"/>
    </w:rPr>
  </w:style>
  <w:style w:type="table" w:styleId="ae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age number"/>
    <w:basedOn w:val="a0"/>
    <w:semiHidden/>
    <w:qFormat/>
  </w:style>
  <w:style w:type="character" w:styleId="af0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f1">
    <w:name w:val="annotation reference"/>
    <w:qFormat/>
    <w:rPr>
      <w:sz w:val="16"/>
      <w:szCs w:val="16"/>
    </w:rPr>
  </w:style>
  <w:style w:type="paragraph" w:customStyle="1" w:styleId="YJ-Proposal">
    <w:name w:val="YJ-Proposal"/>
    <w:basedOn w:val="a"/>
    <w:qFormat/>
    <w:pPr>
      <w:numPr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YJ-Observation">
    <w:name w:val="YJ-Observation"/>
    <w:basedOn w:val="YJ-Proposal"/>
    <w:qFormat/>
    <w:pPr>
      <w:numPr>
        <w:numId w:val="3"/>
      </w:numPr>
      <w:tabs>
        <w:tab w:val="left" w:pos="420"/>
      </w:tabs>
    </w:pPr>
  </w:style>
  <w:style w:type="paragraph" w:customStyle="1" w:styleId="sub-proposal">
    <w:name w:val="sub-proposal"/>
    <w:basedOn w:val="YJ-Proposal"/>
    <w:next w:val="a"/>
    <w:qFormat/>
    <w:pPr>
      <w:numPr>
        <w:numId w:val="4"/>
      </w:numPr>
      <w:ind w:leftChars="200" w:left="862" w:hangingChars="200" w:hanging="442"/>
    </w:pPr>
  </w:style>
  <w:style w:type="paragraph" w:customStyle="1" w:styleId="sub-observation">
    <w:name w:val="sub-observation"/>
    <w:basedOn w:val="sub-proposal"/>
    <w:next w:val="a"/>
    <w:qFormat/>
  </w:style>
  <w:style w:type="paragraph" w:customStyle="1" w:styleId="References">
    <w:name w:val="References"/>
    <w:basedOn w:val="a"/>
    <w:qFormat/>
    <w:pPr>
      <w:numPr>
        <w:numId w:val="5"/>
      </w:numPr>
      <w:spacing w:after="60"/>
    </w:pPr>
    <w:rPr>
      <w:szCs w:val="16"/>
    </w:rPr>
  </w:style>
  <w:style w:type="paragraph" w:styleId="af2">
    <w:name w:val="List Paragraph"/>
    <w:basedOn w:val="a"/>
    <w:uiPriority w:val="34"/>
    <w:qFormat/>
    <w:pPr>
      <w:spacing w:beforeLines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11">
    <w:name w:val="样式1"/>
    <w:basedOn w:val="a"/>
    <w:qFormat/>
  </w:style>
  <w:style w:type="paragraph" w:customStyle="1" w:styleId="3rdlevelproposal">
    <w:name w:val="3rd level proposal"/>
    <w:basedOn w:val="sub-proposal"/>
    <w:next w:val="a"/>
    <w:qFormat/>
    <w:pPr>
      <w:numPr>
        <w:numId w:val="6"/>
      </w:numPr>
      <w:ind w:leftChars="400" w:left="1282" w:hanging="442"/>
      <w:jc w:val="left"/>
    </w:pPr>
  </w:style>
  <w:style w:type="paragraph" w:customStyle="1" w:styleId="22">
    <w:name w:val="样式2"/>
    <w:basedOn w:val="a"/>
    <w:qFormat/>
  </w:style>
  <w:style w:type="paragraph" w:customStyle="1" w:styleId="3rdlevelobservation">
    <w:name w:val="3rd level observation"/>
    <w:basedOn w:val="sub-observation"/>
    <w:qFormat/>
    <w:pPr>
      <w:numPr>
        <w:numId w:val="7"/>
      </w:numPr>
      <w:ind w:leftChars="400" w:left="1282" w:hanging="442"/>
    </w:pPr>
  </w:style>
  <w:style w:type="paragraph" w:customStyle="1" w:styleId="maintext">
    <w:name w:val="main text"/>
    <w:basedOn w:val="a"/>
    <w:qFormat/>
    <w:pPr>
      <w:spacing w:before="60" w:after="60" w:line="288" w:lineRule="auto"/>
      <w:ind w:firstLineChars="200" w:firstLine="200"/>
    </w:pPr>
    <w:rPr>
      <w:rFonts w:eastAsia="Malgun Gothic"/>
      <w:lang w:eastAsia="ko-KR"/>
    </w:rPr>
  </w:style>
  <w:style w:type="paragraph" w:customStyle="1" w:styleId="TH">
    <w:name w:val="TH"/>
    <w:basedOn w:val="a"/>
    <w:qFormat/>
    <w:pPr>
      <w:keepNext/>
      <w:keepLines/>
      <w:spacing w:beforeLines="0" w:afterLines="0"/>
      <w:jc w:val="center"/>
    </w:pPr>
    <w:rPr>
      <w:rFonts w:ascii="Arial" w:eastAsia="Times New Roman" w:hAnsi="Arial" w:cs="Arial"/>
      <w:b/>
      <w:bCs/>
      <w:kern w:val="0"/>
      <w:sz w:val="24"/>
      <w:szCs w:val="24"/>
      <w:lang w:val="zh-CN"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spacing w:beforeLines="0" w:afterLines="0"/>
      <w:jc w:val="center"/>
    </w:pPr>
    <w:rPr>
      <w:rFonts w:eastAsia="Times New Roman" w:cs="Arial"/>
      <w:kern w:val="0"/>
      <w:szCs w:val="18"/>
      <w:lang w:val="zh-CN" w:eastAsia="en-US"/>
    </w:r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character" w:customStyle="1" w:styleId="Char3">
    <w:name w:val="页眉 Char"/>
    <w:basedOn w:val="a0"/>
    <w:link w:val="aa"/>
    <w:semiHidden/>
    <w:qFormat/>
    <w:rPr>
      <w:kern w:val="2"/>
      <w:sz w:val="21"/>
    </w:rPr>
  </w:style>
  <w:style w:type="character" w:customStyle="1" w:styleId="Char2">
    <w:name w:val="页脚 Char"/>
    <w:basedOn w:val="a0"/>
    <w:link w:val="a9"/>
    <w:uiPriority w:val="99"/>
    <w:qFormat/>
    <w:rPr>
      <w:kern w:val="2"/>
      <w:sz w:val="18"/>
      <w:szCs w:val="18"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colour">
    <w:name w:val="colour"/>
    <w:basedOn w:val="a0"/>
    <w:qFormat/>
  </w:style>
  <w:style w:type="paragraph" w:customStyle="1" w:styleId="B1">
    <w:name w:val="B1"/>
    <w:basedOn w:val="a7"/>
    <w:qFormat/>
  </w:style>
  <w:style w:type="paragraph" w:customStyle="1" w:styleId="B2">
    <w:name w:val="B2"/>
    <w:basedOn w:val="20"/>
    <w:qFormat/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3GPPNormalText">
    <w:name w:val="3GPP Normal Text"/>
    <w:basedOn w:val="a6"/>
    <w:qFormat/>
    <w:rPr>
      <w:rFonts w:eastAsia="MS Mincho"/>
      <w:sz w:val="22"/>
    </w:rPr>
  </w:style>
  <w:style w:type="character" w:customStyle="1" w:styleId="Char1">
    <w:name w:val="批注框文本 Char"/>
    <w:basedOn w:val="a0"/>
    <w:link w:val="a8"/>
    <w:uiPriority w:val="99"/>
    <w:semiHidden/>
    <w:qFormat/>
    <w:rPr>
      <w:rFonts w:ascii="Tahoma" w:eastAsia="宋体" w:hAnsi="Tahoma" w:cs="Tahoma"/>
      <w:kern w:val="2"/>
      <w:sz w:val="16"/>
      <w:szCs w:val="16"/>
    </w:rPr>
  </w:style>
  <w:style w:type="character" w:customStyle="1" w:styleId="Char">
    <w:name w:val="文档结构图 Char"/>
    <w:basedOn w:val="a0"/>
    <w:link w:val="a4"/>
    <w:uiPriority w:val="99"/>
    <w:semiHidden/>
    <w:qFormat/>
    <w:rPr>
      <w:rFonts w:ascii="Tahoma" w:eastAsia="宋体" w:hAnsi="Tahoma" w:cs="Tahoma"/>
      <w:kern w:val="2"/>
      <w:sz w:val="16"/>
      <w:szCs w:val="16"/>
    </w:rPr>
  </w:style>
  <w:style w:type="character" w:customStyle="1" w:styleId="Char0">
    <w:name w:val="批注文字 Char"/>
    <w:basedOn w:val="a0"/>
    <w:link w:val="a5"/>
    <w:uiPriority w:val="99"/>
    <w:semiHidden/>
    <w:qFormat/>
    <w:rPr>
      <w:rFonts w:eastAsia="宋体"/>
      <w:kern w:val="2"/>
      <w:sz w:val="21"/>
    </w:rPr>
  </w:style>
  <w:style w:type="character" w:customStyle="1" w:styleId="Char4">
    <w:name w:val="批注主题 Char"/>
    <w:basedOn w:val="Char0"/>
    <w:link w:val="ad"/>
    <w:qFormat/>
    <w:rPr>
      <w:rFonts w:eastAsia="宋体"/>
      <w:kern w:val="2"/>
      <w:sz w:val="21"/>
    </w:rPr>
  </w:style>
  <w:style w:type="paragraph" w:customStyle="1" w:styleId="Proposal">
    <w:name w:val="Proposal"/>
    <w:basedOn w:val="a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0D7BCF-517F-4306-800D-8765D1B0C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634</Words>
  <Characters>3618</Characters>
  <Application>Microsoft Office Word</Application>
  <DocSecurity>0</DocSecurity>
  <Lines>30</Lines>
  <Paragraphs>8</Paragraphs>
  <ScaleCrop>false</ScaleCrop>
  <Company>ZTE</Company>
  <LinksUpToDate>false</LinksUpToDate>
  <CharactersWithSpaces>4244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xingweimin</cp:lastModifiedBy>
  <cp:revision>71</cp:revision>
  <dcterms:created xsi:type="dcterms:W3CDTF">2019-04-08T03:09:00Z</dcterms:created>
  <dcterms:modified xsi:type="dcterms:W3CDTF">2021-05-10T03:27:00Z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